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ce2cc6eb7f38434d"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32875</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OPĆINA SOPJE</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22</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VI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876.493,85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629.261,58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71,8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397.866,54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682.503,27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171,5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53.241,69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8.796,97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5.008,42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441.157,57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337.551,68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76,5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432.360,60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332.543,26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76,9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252.952,32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88.864,68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PRIMITAKA OD FINANCIJSKE IMOVINE I ZADUŽIVANJA (šifre 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164.087,64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221.697,31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bl>
    <w:p>
      <w:pPr>
        <w:spacing w:before="0" w:after="0"/>
      </w:pPr>
    </w:p>
    <w:p>
      <w:pPr>
        <w:jc w:val="both"/>
        <w:pStyle w:val="Normal"/>
        <w:spacing w:line="240" w:lineRule="auto"/>
      </w:pPr>
      <w:r>
        <w:rPr>
          <w:sz w:val="24"/>
          <w:rFonts w:ascii="Times New Roman" w:hAnsi="Times New Roman"/>
        </w:rPr>
        <w:t>OBRAZLOŽENJE UZ IZVJEŠTAJ O PRIHODIMA I RASHODIMA, PRIMICIMA I IZDACIMA (PR-RAS)
U obrascu PR-RAS za izvještajno razdoblje iskazano je sljedeće:
1. Poslovanje
Ukupni prihodi poslovanja (šifra 6) ostvareni su u iznosu od 629.261,58 EUR, dok su ukupni rashodi poslovanja (šifra 3) iznosili 682.503,27 EUR. Ostvaren je manjak prihoda poslovanja (šifra Y001) u iznosu od 53.241,69 EUR.
Manjak je rezultat većih rashoda u odnosu na ostvarene prihode, što je posljedica redovitih operativnih aktivnosti te moguće povećane razine usluga ili troškova u određenim programima ili projektima.
2. Nefinancijska imovina
Prihodi od prodaje nefinancijske imovine (šifra 7) iznosili su 5.008,42 EUR, dok su rashodi za nabavu nefinancijske imovine (šifra 4) bili znatno veći i iznosili 337.551,68 EUR, što je rezultiralo manjkom prihoda od nefinancijske imovine (šifra Y002) u iznosu od 332.543,26 EUR.
Ovaj manjak je posljedica ulaganja u kapitalne projekte, prvenstveno u infrastrukturu, objekte i opremu, što predstavlja povećanje imovine jedinice lokalne samouprave te doprinosi dugoročnom razvoju.
3. Financijska imovina i zaduživanje
Primici od financijske imovine i zaduživanja (šifra 8) ostvareni su u iznosu od 252.952,32 EUR, dok su izdaci za financijsku imovinu i otplate zajmova (šifra 5) iznosili 88.864,68 EUR, čime je ostvaren višak u ovom segmentu (šifra X003) u iznosu od 164.087,64 EUR.
Ostvareni višak koristi se za pokriće manjka iz poslovanja i nabave nefinancijske imovine.
4. Ukupni rezultat
Kumulativno, jedinica lokalne samouprave iskazuje manjak prihoda i primitaka (šifra Y005) u iznosu od 221.697,31 EUR.
Ovaj rezultat ukazuje na negativnu razliku između ukupno ostvarenih prihoda i primitaka te rashoda i izdataka u izvještajnom razdoblju. Manjak će biti pokriven prenesenim viškom iz prethodnih godina, novim zaduživanjem ili racionalizacijom troškova u narednom razdoblju, sukladno odlukama predstavničkog tijela.
</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poreza (šifre 611+612+613+614+615+616)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157.466,74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133.350,82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84,7</w:t>
            </w:r>
          </w:p>
        </w:tc>
      </w:tr>
    </w:tbl>
    <w:p>
      <w:pPr>
        <w:spacing w:before="0" w:after="0"/>
      </w:pPr>
    </w:p>
    <w:p>
      <w:pPr>
        <w:jc w:val="both"/>
        <w:pStyle w:val="Normal"/>
        <w:spacing w:line="240" w:lineRule="auto"/>
      </w:pPr>
      <w:r>
        <w:rPr>
          <w:sz w:val="24"/>
          <w:rFonts w:ascii="Times New Roman" w:hAnsi="Times New Roman"/>
        </w:rPr>
        <w:t>Šifra 61 Prihodi od poreza u izvještajnom razdoblju su se smanjili u odnosu na prethodno izvještajno razdoblje jer je uplaćeno manje poreza i prireza od nesamostalnog rada nego u prethodnom izvještajnom razdoblju, i poreza na imovinu se povećao u ovom izvještajnom razdoblju. Porez na robu i usluge naplaćen je manje nego u prethodnom izvještajnom razdoblju.</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od međunarodnih organizacija te institucija i tijela EU (šifre 6321 do 6324)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71.400,00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Nema prometa po ovom kontu u izvještajnom razdoblju.</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proračunu i izvanproračunskim korisnicima iz drugih proračuna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250.155,84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73.212,22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w:t>
            </w:r>
          </w:p>
        </w:tc>
      </w:tr>
    </w:tbl>
    <w:p>
      <w:pPr>
        <w:spacing w:before="0" w:after="0"/>
      </w:pPr>
    </w:p>
    <w:p>
      <w:pPr>
        <w:jc w:val="both"/>
        <w:pStyle w:val="Normal"/>
        <w:spacing w:line="240" w:lineRule="auto"/>
      </w:pPr>
      <w:r>
        <w:rPr>
          <w:sz w:val="24"/>
          <w:rFonts w:ascii="Times New Roman" w:hAnsi="Times New Roman"/>
        </w:rPr>
        <w:t>U izvještajnom razdoblju dolazi do smanjenja jer se od 01.01.2025. godine prihodi za fiskalno izravnanje knjiže na konto 6353</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izravnanja za decentralizirane funkcije i fiskalnog izravnanja (šifre 6351 do 6353)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228.772,86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sukladno novom pravilniku primici od fiskalnog izravnanja se knjiže na konto 635</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6381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temeljem prijenosa EU sredstava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59.162,07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sukladno novom pravilniku Prihodi od pomoći temeljem prijenosa EU sredstva se evidentiraju na kontu 638 po podnesenom ZNS-u. U prošlom izvještajnom razdoblju je bilo evidentirano na 632 što je sada ispravljeno.</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za koncesije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4.664,37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6.502,02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139,4</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uprihodovano više naknade za koncesiju za odvoz smeća.</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zakupa i iznajmljivanja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60.836,88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78.394,34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128,9</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uprihodovano više prihoda od naplate zakupa poljoprivrednog zemljišta u vlasništvu RH. U ovo skupinu pripadaju i prihodi od korištenja mrtvačnica i domova.</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Upravne i administrativne pristojbe (šifre 6511 do 6514)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2.272,42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4.795,28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211,0</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uprihodovano više prihoda od naknada za komunalnu naknadu, grobnu naknadu nego u prošlom izvještajnom razdoblju.</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Doprinosi za šume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990,14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8.707,48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879,4</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uprihodovano više šumskog doprinosa.</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Plaće za redovan rad</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68.736,79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136.565,58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198,7</w:t>
            </w:r>
          </w:p>
        </w:tc>
      </w:tr>
    </w:tbl>
    <w:p>
      <w:pPr>
        <w:spacing w:before="0" w:after="0"/>
      </w:pPr>
    </w:p>
    <w:p>
      <w:pPr>
        <w:jc w:val="both"/>
        <w:pStyle w:val="Normal"/>
        <w:spacing w:line="240" w:lineRule="auto"/>
      </w:pPr>
      <w:r>
        <w:rPr>
          <w:sz w:val="24"/>
          <w:rFonts w:ascii="Times New Roman" w:hAnsi="Times New Roman"/>
        </w:rPr>
        <w:t>Veće bruto plaće rezultiraju većim obvezama za doprinose i poreze, čime konta 3111 i račun 313 (doprinosi na plaće) bilježe dodatni rast. Općina ima zaposleno 7 žena na projektu Zaželi i 2 zaposlena na projektu javni radovi što dovodi do povećanja rashoda za plaće
</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Materijalni rashodi (šifre 321+322+323+324+325+329)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174.056,27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303.870,10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174,6</w:t>
            </w:r>
          </w:p>
        </w:tc>
      </w:tr>
    </w:tbl>
    <w:p>
      <w:pPr>
        <w:spacing w:before="0" w:after="0"/>
      </w:pPr>
    </w:p>
    <w:p>
      <w:pPr>
        <w:jc w:val="both"/>
        <w:pStyle w:val="Normal"/>
        <w:spacing w:line="240" w:lineRule="auto"/>
      </w:pPr>
      <w:r>
        <w:rPr>
          <w:sz w:val="24"/>
          <w:rFonts w:ascii="Times New Roman" w:hAnsi="Times New Roman"/>
        </w:rPr>
        <w:t>Povećanje materijalnih rashoda s 174.056,27 € na 303.870,10 € (porast od 129.813,83 €) prvenstveno je rezultat (i) viših troškova energenata i komunalnih usluga s obzirom na tržišne promjene, (ii) pojačanih aktivnosti redovnog i investicijskog održavanja komunalne infrastrukture, (iii) povećanja broja službenih putovanja i troškova usavršavanja osoblja, te (iv) šireg opsega administrativnih i intelektualnih usluga za unaprjeđenje rada jedinice lokalne samouprave. Za svaku kategoriju tvore se zasebni godišnji upitnici i dokumentacija prema računovodstvenom pravilniku, osiguravajući namjenski trošak i transparentnost.“</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Usluge tekućeg i investicijskog održavanja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2.475,61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58.949,47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2381,2</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općina imala Ostale usluge tekućeg i investicijskog održavanja u iznosu 55719,12(najviše se odnosi na održavanje nerazvrstanih cesta na području općine ), Usluge tekućeg i investicijskog održavanja prijevoznih sredstava, Usluge tekućeg i investicijskog održavanja postrojenja i opreme.</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Intelektualne i osobne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22.459,81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57.572,49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256,3</w:t>
            </w:r>
          </w:p>
        </w:tc>
      </w:tr>
    </w:tbl>
    <w:p>
      <w:pPr>
        <w:spacing w:before="0" w:after="0"/>
      </w:pPr>
    </w:p>
    <w:p>
      <w:pPr>
        <w:jc w:val="both"/>
        <w:pStyle w:val="Normal"/>
        <w:spacing w:line="240" w:lineRule="auto"/>
      </w:pPr>
      <w:r>
        <w:rPr>
          <w:sz w:val="24"/>
          <w:rFonts w:ascii="Times New Roman" w:hAnsi="Times New Roman"/>
        </w:rPr>
        <w:t>U izvještajnom razdoblju dolazi do povećanja zbog održavanja koncerta za Dravsko proljeće.</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11.390,27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28.058,66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246,3</w:t>
            </w:r>
          </w:p>
        </w:tc>
      </w:tr>
    </w:tbl>
    <w:p>
      <w:pPr>
        <w:spacing w:before="0" w:after="0"/>
      </w:pPr>
    </w:p>
    <w:p>
      <w:pPr>
        <w:jc w:val="both"/>
        <w:pStyle w:val="Normal"/>
        <w:spacing w:line="240" w:lineRule="auto"/>
      </w:pPr>
      <w:r>
        <w:rPr>
          <w:sz w:val="24"/>
          <w:rFonts w:ascii="Times New Roman" w:hAnsi="Times New Roman"/>
        </w:rPr>
        <w:t>U izvještajnom razdoblju dolazi do povećanja zbog provođenja projekta Manifestacije općine. Rađen je promotivni video za dan općine . Izdavanje sopjanskog glasila, promo materijali za manifestacije.</w:t>
      </w:r>
    </w:p>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nespomenuti rashodi poslovanja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20.144,90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47.856,78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237,6</w:t>
            </w:r>
          </w:p>
        </w:tc>
      </w:tr>
    </w:tbl>
    <w:p>
      <w:pPr>
        <w:spacing w:before="0" w:after="0"/>
      </w:pPr>
    </w:p>
    <w:p>
      <w:pPr>
        <w:jc w:val="both"/>
        <w:pStyle w:val="Normal"/>
        <w:spacing w:line="240" w:lineRule="auto"/>
      </w:pPr>
      <w:r>
        <w:rPr>
          <w:sz w:val="24"/>
          <w:rFonts w:ascii="Times New Roman" w:hAnsi="Times New Roman"/>
        </w:rPr>
        <w:t>U izvještajnom razdoblju dolazi do povećanja zbog provedbe projekta Manifedtacije općine. Provedene su manifestacije Ivanje, Dravsko proljeće, Ribarski dan.</w:t>
      </w:r>
    </w:p>
    <w:p/>
    <w:p>
      <w:pPr>
        <w:jc w:val="center"/>
        <w:pStyle w:val="Normal"/>
        <w:spacing w:line="240" w:lineRule="auto"/>
        <w:keepNext/>
      </w:pPr>
      <w:r>
        <w:rPr>
          <w:sz w:val="28"/>
          <w:rFonts w:ascii="Times New Roman" w:hAnsi="Times New Roman"/>
        </w:rPr>
        <w:t>Bilješka 17.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Bankarske usluge i usluge platnog prometa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1.185,74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8.195,98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691,2</w:t>
            </w:r>
          </w:p>
        </w:tc>
      </w:tr>
    </w:tbl>
    <w:p>
      <w:pPr>
        <w:spacing w:before="0" w:after="0"/>
      </w:pPr>
    </w:p>
    <w:p>
      <w:pPr>
        <w:jc w:val="both"/>
        <w:pStyle w:val="Normal"/>
        <w:spacing w:line="240" w:lineRule="auto"/>
      </w:pPr>
      <w:r>
        <w:rPr>
          <w:sz w:val="24"/>
          <w:rFonts w:ascii="Times New Roman" w:hAnsi="Times New Roman"/>
        </w:rPr>
        <w:t>U izvještajnom razdoblju dolazi do povećanja zbog bankarskih usluga zbog korištenja prekoračenja po žiro računu. </w:t>
      </w:r>
    </w:p>
    <w:p/>
    <w:p>
      <w:pPr>
        <w:jc w:val="center"/>
        <w:pStyle w:val="Normal"/>
        <w:spacing w:line="240" w:lineRule="auto"/>
        <w:keepNext/>
      </w:pPr>
      <w:r>
        <w:rPr>
          <w:sz w:val="28"/>
          <w:rFonts w:ascii="Times New Roman" w:hAnsi="Times New Roman"/>
        </w:rPr>
        <w:t>Bilješka 18.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3522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Subvencije trgovačkim društvima i zadrugama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3522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2.576,16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4.152,49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161,2</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su se povećali rashodi prema trgovačkom društvu Elkomnet</w:t>
      </w:r>
    </w:p>
    <w:p/>
    <w:p>
      <w:pPr>
        <w:jc w:val="center"/>
        <w:pStyle w:val="Normal"/>
        <w:spacing w:line="240" w:lineRule="auto"/>
        <w:keepNext/>
      </w:pPr>
      <w:r>
        <w:rPr>
          <w:sz w:val="28"/>
          <w:rFonts w:ascii="Times New Roman" w:hAnsi="Times New Roman"/>
        </w:rPr>
        <w:t>Bilješka 19.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3672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Prijenosi proračunskim korisnicima iz nadležnog proračuna za financiranje rashoda poslovanja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3672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63.723,14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48.264,52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75,7</w:t>
            </w:r>
          </w:p>
        </w:tc>
      </w:tr>
    </w:tbl>
    <w:p>
      <w:pPr>
        <w:spacing w:before="0" w:after="0"/>
      </w:pPr>
    </w:p>
    <w:p>
      <w:pPr>
        <w:jc w:val="both"/>
        <w:pStyle w:val="Normal"/>
        <w:spacing w:line="240" w:lineRule="auto"/>
      </w:pPr>
      <w:r>
        <w:rPr>
          <w:sz w:val="24"/>
          <w:rFonts w:ascii="Times New Roman" w:hAnsi="Times New Roman"/>
        </w:rPr>
        <w:t>Prema Pravilniku o proračunskom računovodstvu, prijenosi za financiranje rashoda poslovanja (konto 36721 unutar podskupine 3672) služe kao instrument za prenošenje sredstava iz tijela nadležnog proračuna (npr. županija, grada, države) proračunskim korisnicima radi pokrića njihovih tekućih troškova. Proračunski korisnik nije podnio zahtjev za prijenos sredstav za plaće za lipanj nego će to napraviti u srpnju do dospjeća.</w:t>
      </w:r>
    </w:p>
    <w:p/>
    <w:p>
      <w:pPr>
        <w:jc w:val="center"/>
        <w:pStyle w:val="Normal"/>
        <w:spacing w:line="240" w:lineRule="auto"/>
        <w:keepNext/>
      </w:pPr>
      <w:r>
        <w:rPr>
          <w:sz w:val="28"/>
          <w:rFonts w:ascii="Times New Roman" w:hAnsi="Times New Roman"/>
        </w:rPr>
        <w:t>Bilješka 20.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građanima i kućanstvima u novcu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16.152,69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28.122,21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174,1</w:t>
            </w:r>
          </w:p>
        </w:tc>
      </w:tr>
    </w:tbl>
    <w:p>
      <w:pPr>
        <w:spacing w:before="0" w:after="0"/>
      </w:pPr>
    </w:p>
    <w:p>
      <w:pPr>
        <w:jc w:val="both"/>
        <w:pStyle w:val="Normal"/>
        <w:spacing w:line="240" w:lineRule="auto"/>
      </w:pPr>
      <w:r>
        <w:rPr>
          <w:sz w:val="24"/>
          <w:rFonts w:ascii="Times New Roman" w:hAnsi="Times New Roman"/>
        </w:rPr>
        <w:t>U izvještajnom razdoblju dolazi do povećanja jer je općina isplaćivala Uskrsnicu umirovljenicima, korisnicima ZMN, nezaposlenim hrvatskim braniteljima i korisnicima nacionalne naknade u iznosu 50,00 eura. Isplaćeno je 273 uskrsnice. Općina isplaćuje stipendije redovitim studentiama, naknada roditeljima za učenički dom</w:t>
      </w:r>
    </w:p>
    <w:p/>
    <w:p>
      <w:pPr>
        <w:jc w:val="center"/>
        <w:pStyle w:val="Normal"/>
        <w:spacing w:line="240" w:lineRule="auto"/>
        <w:keepNext/>
      </w:pPr>
      <w:r>
        <w:rPr>
          <w:sz w:val="28"/>
          <w:rFonts w:ascii="Times New Roman" w:hAnsi="Times New Roman"/>
        </w:rPr>
        <w:t>Bilješka 21.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7111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Zemljište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7111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8.796,97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5.008,42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56,9</w:t>
            </w:r>
          </w:p>
        </w:tc>
      </w:tr>
    </w:tbl>
    <w:p>
      <w:pPr>
        <w:spacing w:before="0" w:after="0"/>
      </w:pPr>
    </w:p>
    <w:p>
      <w:pPr>
        <w:jc w:val="both"/>
        <w:pStyle w:val="Normal"/>
        <w:spacing w:line="240" w:lineRule="auto"/>
      </w:pPr>
      <w:r>
        <w:rPr>
          <w:sz w:val="24"/>
          <w:rFonts w:ascii="Times New Roman" w:hAnsi="Times New Roman"/>
        </w:rPr>
        <w:t>U izvještajnom razdoblju općina je uprihodovala manje od prodaje poljoprivrednog zemljišta u vlasništvu RH.</w:t>
      </w:r>
    </w:p>
    <w:p/>
    <w:p>
      <w:pPr>
        <w:jc w:val="center"/>
        <w:pStyle w:val="Normal"/>
        <w:spacing w:line="240" w:lineRule="auto"/>
        <w:keepNext/>
      </w:pPr>
      <w:r>
        <w:rPr>
          <w:sz w:val="28"/>
          <w:rFonts w:ascii="Times New Roman" w:hAnsi="Times New Roman"/>
        </w:rPr>
        <w:t>Bilješka 22.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Ceste, željeznice i ostali prometni objekti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300.015,59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razdoblju općina nije imala ulaganja u ceste.</w:t>
      </w:r>
    </w:p>
    <w:p/>
    <w:p>
      <w:pPr>
        <w:jc w:val="center"/>
        <w:pStyle w:val="Normal"/>
        <w:spacing w:line="240" w:lineRule="auto"/>
        <w:keepNext/>
      </w:pPr>
      <w:r>
        <w:rPr>
          <w:sz w:val="28"/>
          <w:rFonts w:ascii="Times New Roman" w:hAnsi="Times New Roman"/>
        </w:rPr>
        <w:t>Bilješka 23.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građevinski objekti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25.522,50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119.270,93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467,3</w:t>
            </w:r>
          </w:p>
        </w:tc>
      </w:tr>
    </w:tbl>
    <w:p>
      <w:pPr>
        <w:spacing w:before="0" w:after="0"/>
      </w:pPr>
    </w:p>
    <w:p>
      <w:pPr>
        <w:jc w:val="both"/>
        <w:pStyle w:val="Normal"/>
        <w:spacing w:line="240" w:lineRule="auto"/>
      </w:pPr>
      <w:r>
        <w:rPr>
          <w:sz w:val="24"/>
          <w:rFonts w:ascii="Times New Roman" w:hAnsi="Times New Roman"/>
        </w:rPr>
        <w:t>u izvještajnom razdoblju općina je izgradila pješačku stazu u Sopju te zbog toga dolazi do povećanja.</w:t>
      </w:r>
    </w:p>
    <w:p/>
    <w:p>
      <w:pPr>
        <w:jc w:val="center"/>
        <w:pStyle w:val="Normal"/>
        <w:spacing w:line="240" w:lineRule="auto"/>
        <w:keepNext/>
      </w:pPr>
      <w:r>
        <w:rPr>
          <w:sz w:val="28"/>
          <w:rFonts w:ascii="Times New Roman" w:hAnsi="Times New Roman"/>
        </w:rPr>
        <w:t>Bilješka 24.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Uredska oprema i namještaj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2.770,00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općina je nabaviča uredski namješta za opremanje ureda za koordinatora na projektu Zaželi</w:t>
      </w:r>
    </w:p>
    <w:p/>
    <w:p>
      <w:pPr>
        <w:jc w:val="center"/>
        <w:pStyle w:val="Normal"/>
        <w:spacing w:line="240" w:lineRule="auto"/>
        <w:keepNext/>
      </w:pPr>
      <w:r>
        <w:rPr>
          <w:sz w:val="28"/>
          <w:rFonts w:ascii="Times New Roman" w:hAnsi="Times New Roman"/>
        </w:rPr>
        <w:t>Bilješka 25.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Oprema za održavanje i zaštitu</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5.741,48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razdoblju nije bilo nabave opreme</w:t>
      </w:r>
    </w:p>
    <w:p/>
    <w:p>
      <w:pPr>
        <w:jc w:val="center"/>
        <w:pStyle w:val="Normal"/>
        <w:spacing w:line="240" w:lineRule="auto"/>
        <w:keepNext/>
      </w:pPr>
      <w:r>
        <w:rPr>
          <w:sz w:val="28"/>
          <w:rFonts w:ascii="Times New Roman" w:hAnsi="Times New Roman"/>
        </w:rPr>
        <w:t>Bilješka 26.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Uređaji, strojevi i oprema za ostale namjene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5.659,75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34.597,00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611,3</w:t>
            </w:r>
          </w:p>
        </w:tc>
      </w:tr>
    </w:tbl>
    <w:p>
      <w:pPr>
        <w:spacing w:before="0" w:after="0"/>
      </w:pPr>
    </w:p>
    <w:p>
      <w:pPr>
        <w:jc w:val="both"/>
        <w:pStyle w:val="Normal"/>
        <w:spacing w:line="240" w:lineRule="auto"/>
      </w:pPr>
      <w:r>
        <w:rPr>
          <w:sz w:val="24"/>
          <w:rFonts w:ascii="Times New Roman" w:hAnsi="Times New Roman"/>
        </w:rPr>
        <w:t>u izvještajnom razdoblju općina je opremila dječje igralište u Španatu s igralima.</w:t>
      </w:r>
    </w:p>
    <w:p/>
    <w:p>
      <w:pPr>
        <w:jc w:val="center"/>
        <w:pStyle w:val="Normal"/>
        <w:spacing w:line="240" w:lineRule="auto"/>
        <w:keepNext/>
      </w:pPr>
      <w:r>
        <w:rPr>
          <w:sz w:val="28"/>
          <w:rFonts w:ascii="Times New Roman" w:hAnsi="Times New Roman"/>
        </w:rPr>
        <w:t>Bilješka 27.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Ulaganja u računalne programe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29.747,50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rađena je Implementacija digitalizacija prostornih podataka općine sopje putem webgis sustava </w:t>
      </w:r>
    </w:p>
    <w:p/>
    <w:p>
      <w:pPr>
        <w:jc w:val="center"/>
        <w:pStyle w:val="Normal"/>
        <w:spacing w:line="240" w:lineRule="auto"/>
        <w:keepNext/>
      </w:pPr>
      <w:r>
        <w:rPr>
          <w:sz w:val="28"/>
          <w:rFonts w:ascii="Times New Roman" w:hAnsi="Times New Roman"/>
        </w:rPr>
        <w:t>Bilješka 28.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451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Dodatna ulaganja na građevinskim objektima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103.218,25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151.166,25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146,5</w:t>
            </w:r>
          </w:p>
        </w:tc>
      </w:tr>
    </w:tbl>
    <w:p>
      <w:pPr>
        <w:spacing w:before="0" w:after="0"/>
      </w:pPr>
    </w:p>
    <w:p>
      <w:pPr>
        <w:jc w:val="both"/>
        <w:pStyle w:val="Normal"/>
        <w:spacing w:line="240" w:lineRule="auto"/>
      </w:pPr>
      <w:r>
        <w:rPr>
          <w:sz w:val="24"/>
          <w:rFonts w:ascii="Times New Roman" w:hAnsi="Times New Roman"/>
        </w:rPr>
        <w:t>u izvještajnom razdoblju rađeno je dodtno ulaganje na sanaciji krovišta u Vaškoj, sanacija velike sale u društvenom domu u Sopju I. faza, sanacija spremišta zgrade nogometnog igrališta u Grabiću.</w:t>
      </w:r>
    </w:p>
    <w:p/>
    <w:p>
      <w:pPr>
        <w:jc w:val="center"/>
        <w:pStyle w:val="Normal"/>
        <w:spacing w:line="240" w:lineRule="auto"/>
        <w:keepNext/>
      </w:pPr>
      <w:r>
        <w:rPr>
          <w:sz w:val="28"/>
          <w:rFonts w:ascii="Times New Roman" w:hAnsi="Times New Roman"/>
        </w:rPr>
        <w:t>Bilješka 29.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8443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Primljeni krediti od tuzemnih kreditnih institucija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8443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252.952,32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općina koristi prekoračenje po žiro računu.</w:t>
      </w:r>
    </w:p>
    <w:p/>
    <w:p>
      <w:pPr>
        <w:jc w:val="center"/>
        <w:pStyle w:val="Normal"/>
        <w:spacing w:line="240" w:lineRule="auto"/>
        <w:keepNext/>
      </w:pPr>
      <w:r>
        <w:rPr>
          <w:sz w:val="28"/>
          <w:rFonts w:ascii="Times New Roman" w:hAnsi="Times New Roman"/>
        </w:rPr>
        <w:t>Bilješka 30.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5443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Otplata glavnice primljenih kredita od tuzemnih kreditnih institucija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5443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88.864,68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općina koristi prekoračenje po žiro računu.</w:t>
      </w:r>
    </w:p>
    <w:p/>
    <w:p>
      <w:pPr>
        <w:jc w:val="center"/>
        <w:pStyle w:val="Normal"/>
        <w:spacing w:line="240" w:lineRule="auto"/>
        <w:keepNext/>
      </w:pPr>
      <w:r>
        <w:rPr>
          <w:sz w:val="28"/>
          <w:rFonts w:ascii="Times New Roman" w:hAnsi="Times New Roman"/>
        </w:rPr>
        <w:t>Bilješka 31.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Prosječan broj zaposlenih u tijelima na osnovi stanja na početku i na kraju izvještajnog razdoblja (cijeli broj)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Z006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200</w:t>
            </w:r>
          </w:p>
        </w:tc>
      </w:tr>
    </w:tbl>
    <w:p>
      <w:pPr>
        <w:spacing w:before="0" w:after="0"/>
      </w:pPr>
    </w:p>
    <w:p>
      <w:pPr>
        <w:jc w:val="both"/>
        <w:pStyle w:val="Normal"/>
        <w:spacing w:line="240" w:lineRule="auto"/>
      </w:pPr>
      <w:r>
        <w:rPr>
          <w:sz w:val="24"/>
          <w:rFonts w:ascii="Times New Roman" w:hAnsi="Times New Roman"/>
        </w:rPr>
        <w:t>U izvještajnom razdoblju općina ima načelnika koji profesionano obnaša dužnost, 3 službenika i 3 namještenika, koordinator na projektu zaželi, 7 žena zaposlenih na projektu Zaželi i 2 zaposlena u javnim radovima.</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32.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550.870,97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
Na dan 30. 06. 2025., dospjele obveze iznose 550.870,97 €, Sastoje se od različitih kategorija troškova, a njihov trenutni iznos posljedica je temeljitog plana nabave i poreznog ciklusa. Postavljen je jasan okvir i vremenski plan za njihovo izmirenje do kraja srpnja, uz aktivno upravljanje likvidnošću i eventualno korištenje kreditnih linija. Paralelno se uvode mjere s ciljem učinkovitijeg praćenja i smanjenja rizika nakupljanja budućih dospjelih obveza.</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23ba2d01903b4a5d" /></Relationships>
</file>